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9229" w14:textId="77777777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Bold" w:hAnsi="MgAvantGUCPolBold" w:cs="MgAvantGUCPolBold"/>
          <w:b/>
          <w:bCs/>
          <w:sz w:val="36"/>
          <w:szCs w:val="36"/>
        </w:rPr>
      </w:pPr>
      <w:r w:rsidRPr="004F591C">
        <w:rPr>
          <w:rFonts w:ascii="MgAvantGUCPolBold" w:hAnsi="MgAvantGUCPolBold" w:cs="MgAvantGUCPolBold"/>
          <w:b/>
          <w:bCs/>
          <w:sz w:val="36"/>
          <w:szCs w:val="36"/>
        </w:rPr>
        <w:t>FOR VENIA DIMITRAKOPOULOU</w:t>
      </w:r>
    </w:p>
    <w:p w14:paraId="416C6392" w14:textId="77777777" w:rsid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Bold" w:hAnsi="MgAvantGUCPolBold" w:cs="MgAvantGUCPolBold"/>
          <w:b/>
          <w:bCs/>
          <w:sz w:val="36"/>
          <w:szCs w:val="36"/>
        </w:rPr>
      </w:pPr>
    </w:p>
    <w:p w14:paraId="17BDB2F0" w14:textId="765561CB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In the ancestral and also modern disquiet of her works, Venia Dimitrakopoulou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conveys the uninterrupted strand not so much of actually being Greek,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but of her constant, critically vivid and honed rethinking, as product of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germination of a culture that goes back to the origins and that was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mother of Greek civili</w:t>
      </w:r>
      <w:r>
        <w:rPr>
          <w:rFonts w:ascii="MgAvantGUCPolNormal" w:eastAsia="MgAvantGUCPolNormal" w:cs="MgAvantGUCPolNormal"/>
          <w:sz w:val="24"/>
          <w:szCs w:val="24"/>
        </w:rPr>
        <w:t>s</w:t>
      </w:r>
      <w:r w:rsidRPr="004F591C">
        <w:rPr>
          <w:rFonts w:ascii="MgAvantGUCPolNormal" w:eastAsia="MgAvantGUCPolNormal" w:cs="MgAvantGUCPolNormal"/>
          <w:sz w:val="24"/>
          <w:szCs w:val="24"/>
        </w:rPr>
        <w:t>ation itself.</w:t>
      </w:r>
    </w:p>
    <w:p w14:paraId="5CDD4D05" w14:textId="417EF6F2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She has rediscovered and revived the ancient signs in herself, felt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again their generating power, and before them clarified, to say it with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wonderful words written by Giorgio Seferis,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the faith that they have a spirit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>.</w:t>
      </w:r>
    </w:p>
    <w:p w14:paraId="7A68E2AE" w14:textId="00927208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Italic" w:eastAsia="MgAvantGUCPolItalic" w:cs="MgAvantGUCPolItalic"/>
          <w:i/>
          <w:iCs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 xml:space="preserve">Such signs were and are primarily embodied in a raw material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par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excellence</w:t>
      </w:r>
      <w:r w:rsidRPr="004F591C">
        <w:rPr>
          <w:rFonts w:ascii="MgAvantGUCPolNormal" w:eastAsia="MgAvantGUCPolNormal" w:cs="MgAvantGUCPolNormal"/>
          <w:sz w:val="24"/>
          <w:szCs w:val="24"/>
        </w:rPr>
        <w:t>, the lava of Aegina, where she has her studio. Dimitrakopoulou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has confronted it in a deferential and resolute grapple, rediscovering Gaia,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mother goddess and matrix, along with Pelops, Agamemnon and the entire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line of heroes and warriors. Here the material itself is inhabited by the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memory of the fire that forged it and also by the </w:t>
      </w:r>
      <w:r>
        <w:rPr>
          <w:rFonts w:ascii="MgAvantGUCPolNormal" w:eastAsia="MgAvantGUCPolNormal" w:cs="MgAvantGUCPolNormal" w:hint="eastAsia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intimit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é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 de l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é</w:t>
      </w:r>
      <w:r w:rsidRPr="004F591C">
        <w:rPr>
          <w:rFonts w:ascii="MgAvantGUCPolNormal" w:eastAsia="MgAvantGUCPolNormal" w:cs="MgAvantGUCPolNormal"/>
          <w:sz w:val="24"/>
          <w:szCs w:val="24"/>
        </w:rPr>
        <w:t>nergie du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travailleur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 (Bachelard).</w:t>
      </w:r>
    </w:p>
    <w:p w14:paraId="680EE333" w14:textId="0DCFC899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Dimitrakopoulou effortlessly distills and implements a plurality of methods,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from rough, primary sculpting to the subtle complexity of the installation,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from video to the lightness of paper held in the palm of a hand, from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powerful emphasis of the large shape to the sleek minutiae of the 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γρ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ά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μμα</w:t>
      </w:r>
      <w:r w:rsidRPr="004F591C">
        <w:rPr>
          <w:rFonts w:ascii="MgAvantGUCPolNormal" w:eastAsia="MgAvantGUCPolNormal" w:cs="MgAvantGUCPolNormal"/>
          <w:sz w:val="24"/>
          <w:szCs w:val="24"/>
        </w:rPr>
        <w:t>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of that which Ren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é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 de Solier called the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biologie de l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/>
          <w:sz w:val="24"/>
          <w:szCs w:val="24"/>
        </w:rPr>
        <w:t>acte d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é</w:t>
      </w:r>
      <w:r w:rsidRPr="004F591C">
        <w:rPr>
          <w:rFonts w:ascii="MgAvantGUCPolNormal" w:eastAsia="MgAvantGUCPolNormal" w:cs="MgAvantGUCPolNormal"/>
          <w:sz w:val="24"/>
          <w:szCs w:val="24"/>
        </w:rPr>
        <w:t>crire peindre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dessiner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>.</w:t>
      </w:r>
    </w:p>
    <w:p w14:paraId="5A5893E2" w14:textId="58BE733F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Her position is one of powerful assertion, of reclaiming a non-negotiable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primacy of meaning, but erecting between herself and the realm of distracted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worldly reception a bulwark that preserves Dimitrakopoulou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/>
          <w:sz w:val="24"/>
          <w:szCs w:val="24"/>
        </w:rPr>
        <w:t>s wish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to be, along with Nietzsche,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Nur Dichter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, only a poet. And her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Promahones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really are a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προμαχε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ώ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ν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, a safeguarding barrier, protecting an interior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—</w:t>
      </w:r>
      <w:r w:rsidRPr="004F591C">
        <w:rPr>
          <w:rFonts w:ascii="MgAvantGUCPolNormal" w:eastAsia="MgAvantGUCPolNormal" w:cs="MgAvantGUCPolNormal"/>
          <w:sz w:val="24"/>
          <w:szCs w:val="24"/>
        </w:rPr>
        <w:t>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whole world of the values in which she believes and identifies with, to which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she aspires, the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humani nihil alienum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”—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 defended against the blind, desolate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drift of signs offered by the world of ordinary experience.</w:t>
      </w:r>
    </w:p>
    <w:p w14:paraId="611842D2" w14:textId="36F2DC1A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They are a plexus, more intellectual than physical, that the video installation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 xml:space="preserve">Sounds and Shadows </w:t>
      </w:r>
      <w:r w:rsidRPr="004F591C">
        <w:rPr>
          <w:rFonts w:ascii="MgAvantGUCPolNormal" w:eastAsia="MgAvantGUCPolNormal" w:cs="MgAvantGUCPolNormal"/>
          <w:sz w:val="24"/>
          <w:szCs w:val="24"/>
        </w:rPr>
        <w:t>has rendered as impalpable places of shadows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and as sounds </w:t>
      </w:r>
      <w:r w:rsidRPr="004F591C">
        <w:rPr>
          <w:rFonts w:ascii="MgAvantGUCPolNormal" w:eastAsia="MgAvantGUCPolNormal" w:cs="MgAvantGUCPolNormal"/>
          <w:sz w:val="24"/>
          <w:szCs w:val="24"/>
        </w:rPr>
        <w:lastRenderedPageBreak/>
        <w:t>unleashed by the metal, the ineffable and intangible dimension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of the physical presence.</w:t>
      </w:r>
    </w:p>
    <w:p w14:paraId="6D365963" w14:textId="1D3C716A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In perfect conceptual homogeneity, Dimitrakopoulou similarly unfurls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the poetic density of her 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γρ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ά</w:t>
      </w:r>
      <w:r>
        <w:rPr>
          <w:rFonts w:ascii="MgAvantGUCPolNormal" w:eastAsia="MgAvantGUCPolNormal" w:cs="MgAvantGUCPolNormal" w:hint="eastAsia"/>
          <w:sz w:val="24"/>
          <w:szCs w:val="24"/>
          <w:lang w:val="el-GR"/>
        </w:rPr>
        <w:t>μματα</w:t>
      </w:r>
      <w:r w:rsidRPr="004F591C">
        <w:rPr>
          <w:rFonts w:ascii="MgAvantGUCPolNormal" w:eastAsia="MgAvantGUCPolNormal" w:cs="MgAvantGUCPolNormal"/>
          <w:sz w:val="24"/>
          <w:szCs w:val="24"/>
        </w:rPr>
        <w:t>, writings in the widest and most magnificently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ambiguous sense of the term. The assured consistency of Chinese paper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(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The smell of the paper. The feel of it and its recollection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>, is read in one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of her verbal/visual fragments), inhabited by signs of ink, placed as complement/</w:t>
      </w:r>
    </w:p>
    <w:p w14:paraId="5AE4F2EC" w14:textId="1799D7F1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contrast to the powerful introversion of the stones and the metal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shapes of the vast, distinct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Promahones</w:t>
      </w:r>
      <w:r w:rsidRPr="004F591C">
        <w:rPr>
          <w:rFonts w:ascii="MgAvantGUCPolNormal" w:eastAsia="MgAvantGUCPolNormal" w:cs="MgAvantGUCPolNormal"/>
          <w:sz w:val="24"/>
          <w:szCs w:val="24"/>
        </w:rPr>
        <w:t>.</w:t>
      </w:r>
    </w:p>
    <w:p w14:paraId="2F8FB121" w14:textId="6D315A3F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Italic" w:eastAsia="MgAvantGUCPolItalic" w:cs="MgAvantGUCPolItalic"/>
          <w:i/>
          <w:iCs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 xml:space="preserve">The works on paper are also form in themselves: the shape of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Secret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 xml:space="preserve">Armour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and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Nessus</w:t>
      </w:r>
      <w:r w:rsidRPr="004F591C">
        <w:rPr>
          <w:rFonts w:ascii="MgAvantGUCPolItalic" w:eastAsia="MgAvantGUCPolItalic" w:cs="MgAvantGUCPolItalic" w:hint="eastAsia"/>
          <w:i/>
          <w:iCs/>
          <w:sz w:val="24"/>
          <w:szCs w:val="24"/>
        </w:rPr>
        <w:t>’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 xml:space="preserve"> Shirt</w:t>
      </w:r>
      <w:r w:rsidRPr="004F591C">
        <w:rPr>
          <w:rFonts w:ascii="MgAvantGUCPolNormal" w:eastAsia="MgAvantGUCPolNormal" w:cs="MgAvantGUCPolNormal"/>
          <w:sz w:val="24"/>
          <w:szCs w:val="24"/>
        </w:rPr>
        <w:t>, the theoretically unlimited accordion books of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her poetic peaks correspond to the later works,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 xml:space="preserve">Insomnia Bed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and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Lines of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thinking</w:t>
      </w:r>
      <w:r w:rsidRPr="004F591C">
        <w:rPr>
          <w:rFonts w:ascii="MgAvantGUCPolNormal" w:eastAsia="MgAvantGUCPolNormal" w:cs="MgAvantGUCPolNormal"/>
          <w:sz w:val="24"/>
          <w:szCs w:val="24"/>
        </w:rPr>
        <w:t>, and the soundtrack of sounds by Pablo Ortiz and especially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voice of Dimitrakopoulou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herself, enunciating, hypnotically, the writings of</w:t>
      </w:r>
      <w:r>
        <w:rPr>
          <w:rFonts w:ascii="MgAvantGUCPolItalic" w:eastAsia="MgAvantGUCPolItalic" w:cs="MgAvantGUCPolItalic"/>
          <w:i/>
          <w:iCs/>
          <w:sz w:val="24"/>
          <w:szCs w:val="24"/>
        </w:rPr>
        <w:t xml:space="preserve">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Insomnia Bed</w:t>
      </w:r>
      <w:r w:rsidRPr="004F591C">
        <w:rPr>
          <w:rFonts w:ascii="MgAvantGUCPolNormal" w:eastAsia="MgAvantGUCPolNormal" w:cs="MgAvantGUCPolNormal"/>
          <w:sz w:val="24"/>
          <w:szCs w:val="24"/>
        </w:rPr>
        <w:t>.</w:t>
      </w:r>
    </w:p>
    <w:p w14:paraId="093B13F0" w14:textId="3DCF7A53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Matter, Logos, Sound: the artist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/>
          <w:sz w:val="24"/>
          <w:szCs w:val="24"/>
        </w:rPr>
        <w:t>s pathway into artistic knowledge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highlights especially the exquisitely ethical role she recognises in her work,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that which would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once have been called 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“</w:t>
      </w:r>
      <w:r w:rsidRPr="004F591C">
        <w:rPr>
          <w:rFonts w:ascii="MgAvantGUCPolNormal" w:eastAsia="MgAvantGUCPolNormal" w:cs="MgAvantGUCPolNormal"/>
          <w:sz w:val="24"/>
          <w:szCs w:val="24"/>
        </w:rPr>
        <w:t>engagement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”</w:t>
      </w:r>
      <w:r w:rsidRPr="004F591C">
        <w:rPr>
          <w:rFonts w:ascii="MgAvantGUCPolNormal" w:eastAsia="MgAvantGUCPolNormal" w:cs="MgAvantGUCPolNormal"/>
          <w:sz w:val="24"/>
          <w:szCs w:val="24"/>
        </w:rPr>
        <w:t>. It is very clear at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this point that she fosters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and restores a research that, skipping the quicksands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of the antiquarian approach,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identifies in the rhizomes of the ancestral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culture through which it roams the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nutrients needed not so much to live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and proclaim the present, but, in the awareness of the latter, to germinate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a possible future: and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 xml:space="preserve">Primordial Future </w:t>
      </w:r>
      <w:r w:rsidRPr="004F591C">
        <w:rPr>
          <w:rFonts w:ascii="MgAvantGUCPolNormal" w:eastAsia="MgAvantGUCPolNormal" w:cs="MgAvantGUCPolNormal"/>
          <w:sz w:val="24"/>
          <w:szCs w:val="24"/>
        </w:rPr>
        <w:t>is the overall title she gave to her recent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Italian experience.</w:t>
      </w:r>
    </w:p>
    <w:p w14:paraId="44DA83A7" w14:textId="190F53D9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All of Dimitrakopoulou</w:t>
      </w:r>
      <w:r w:rsidRPr="004F591C">
        <w:rPr>
          <w:rFonts w:ascii="MgAvantGUCPolNormal" w:eastAsia="MgAvantGUCPolNormal" w:cs="MgAvantGUCPolNormal" w:hint="eastAsia"/>
          <w:sz w:val="24"/>
          <w:szCs w:val="24"/>
        </w:rPr>
        <w:t>’</w:t>
      </w:r>
      <w:r w:rsidRPr="004F591C">
        <w:rPr>
          <w:rFonts w:ascii="MgAvantGUCPolNormal" w:eastAsia="MgAvantGUCPolNormal" w:cs="MgAvantGUCPolNormal"/>
          <w:sz w:val="24"/>
          <w:szCs w:val="24"/>
        </w:rPr>
        <w:t>s work, in the plurality of the methods she chooses,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triggers mechanisms of a distinct and pleasant contradiction, which prefers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>the murmur to the rally, but always proves to be radically irrepressible.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r w:rsidRPr="004F591C">
        <w:rPr>
          <w:rFonts w:ascii="MgAvantGUCPolNormal" w:eastAsia="MgAvantGUCPolNormal" w:cs="MgAvantGUCPolNormal"/>
          <w:sz w:val="24"/>
          <w:szCs w:val="24"/>
        </w:rPr>
        <w:t xml:space="preserve">Because Venia is clearly, authentically, non-negotiably </w:t>
      </w:r>
      <w:r w:rsidRPr="004F591C">
        <w:rPr>
          <w:rFonts w:ascii="MgAvantGUCPolItalic" w:eastAsia="MgAvantGUCPolItalic" w:cs="MgAvantGUCPolItalic"/>
          <w:i/>
          <w:iCs/>
          <w:sz w:val="24"/>
          <w:szCs w:val="24"/>
        </w:rPr>
        <w:t>insoumise</w:t>
      </w:r>
      <w:r w:rsidRPr="004F591C">
        <w:rPr>
          <w:rFonts w:ascii="MgAvantGUCPolNormal" w:eastAsia="MgAvantGUCPolNormal" w:cs="MgAvantGUCPolNormal"/>
          <w:sz w:val="24"/>
          <w:szCs w:val="24"/>
        </w:rPr>
        <w:t>, as art</w:t>
      </w:r>
      <w:r>
        <w:rPr>
          <w:rFonts w:ascii="MgAvantGUCPolNormal" w:eastAsia="MgAvantGUCPolNormal" w:cs="MgAvantGUCPolNormal"/>
          <w:sz w:val="24"/>
          <w:szCs w:val="24"/>
        </w:rPr>
        <w:t xml:space="preserve"> </w:t>
      </w:r>
      <w:bookmarkStart w:id="0" w:name="_GoBack"/>
      <w:bookmarkEnd w:id="0"/>
      <w:r w:rsidRPr="004F591C">
        <w:rPr>
          <w:rFonts w:ascii="MgAvantGUCPolNormal" w:eastAsia="MgAvantGUCPolNormal" w:cs="MgAvantGUCPolNormal"/>
          <w:sz w:val="24"/>
          <w:szCs w:val="24"/>
        </w:rPr>
        <w:t>should always be.</w:t>
      </w:r>
    </w:p>
    <w:p w14:paraId="4A829B04" w14:textId="77777777" w:rsid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Bold" w:eastAsia="MgAvantGUCPolNormal" w:hAnsi="MgAvantGUCPolBold" w:cs="MgAvantGUCPolBold"/>
          <w:b/>
          <w:bCs/>
          <w:sz w:val="24"/>
          <w:szCs w:val="24"/>
        </w:rPr>
      </w:pPr>
    </w:p>
    <w:p w14:paraId="0DF96D65" w14:textId="5C51D5C4" w:rsidR="004F591C" w:rsidRPr="004F591C" w:rsidRDefault="004F591C" w:rsidP="004F591C">
      <w:pPr>
        <w:autoSpaceDE w:val="0"/>
        <w:autoSpaceDN w:val="0"/>
        <w:adjustRightInd w:val="0"/>
        <w:spacing w:after="0" w:line="240" w:lineRule="auto"/>
        <w:jc w:val="both"/>
        <w:rPr>
          <w:rFonts w:ascii="MgAvantGUCPolBold" w:eastAsia="MgAvantGUCPolNormal" w:hAnsi="MgAvantGUCPolBold" w:cs="MgAvantGUCPolBold"/>
          <w:b/>
          <w:bCs/>
          <w:sz w:val="24"/>
          <w:szCs w:val="24"/>
        </w:rPr>
      </w:pPr>
      <w:r w:rsidRPr="004F591C">
        <w:rPr>
          <w:rFonts w:ascii="MgAvantGUCPolBold" w:eastAsia="MgAvantGUCPolNormal" w:hAnsi="MgAvantGUCPolBold" w:cs="MgAvantGUCPolBold"/>
          <w:b/>
          <w:bCs/>
          <w:sz w:val="24"/>
          <w:szCs w:val="24"/>
        </w:rPr>
        <w:t>Flaminio Gualdoni</w:t>
      </w:r>
    </w:p>
    <w:p w14:paraId="60F9E7E2" w14:textId="34E6795C" w:rsidR="008E06B8" w:rsidRPr="004F591C" w:rsidRDefault="004F591C" w:rsidP="004F591C">
      <w:pPr>
        <w:jc w:val="both"/>
        <w:rPr>
          <w:rFonts w:ascii="MgAvantGUCPolNormal" w:eastAsia="MgAvantGUCPolNormal" w:cs="MgAvantGUCPolNormal"/>
          <w:sz w:val="24"/>
          <w:szCs w:val="24"/>
        </w:rPr>
      </w:pPr>
      <w:r w:rsidRPr="004F591C">
        <w:rPr>
          <w:rFonts w:ascii="MgAvantGUCPolNormal" w:eastAsia="MgAvantGUCPolNormal" w:cs="MgAvantGUCPolNormal"/>
          <w:sz w:val="24"/>
          <w:szCs w:val="24"/>
        </w:rPr>
        <w:t>Art Historian</w:t>
      </w:r>
    </w:p>
    <w:p w14:paraId="75ECD857" w14:textId="77777777" w:rsidR="004F591C" w:rsidRPr="004F591C" w:rsidRDefault="004F591C" w:rsidP="004F591C">
      <w:pPr>
        <w:jc w:val="both"/>
      </w:pPr>
    </w:p>
    <w:sectPr w:rsidR="004F591C" w:rsidRPr="004F5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AvantGUCPol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AvantGUCPol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AvantGUCPol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591C"/>
    <w:rsid w:val="004F591C"/>
    <w:rsid w:val="008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5E7D"/>
  <w15:chartTrackingRefBased/>
  <w15:docId w15:val="{7E7AECE3-2B27-4CB2-9A41-6A0F7DA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Liva</dc:creator>
  <cp:keywords/>
  <dc:description/>
  <cp:lastModifiedBy>Nadia Liva</cp:lastModifiedBy>
  <cp:revision>1</cp:revision>
  <dcterms:created xsi:type="dcterms:W3CDTF">2019-12-16T12:06:00Z</dcterms:created>
  <dcterms:modified xsi:type="dcterms:W3CDTF">2019-12-16T12:12:00Z</dcterms:modified>
</cp:coreProperties>
</file>